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B0" w:rsidRPr="00D179B8" w:rsidRDefault="00E25DB0" w:rsidP="00063E40">
      <w:pPr>
        <w:rPr>
          <w:rFonts w:ascii="標楷體" w:eastAsia="標楷體" w:hAnsi="標楷體" w:cs="標楷體"/>
          <w:sz w:val="40"/>
          <w:szCs w:val="40"/>
        </w:rPr>
      </w:pPr>
      <w:bookmarkStart w:id="0" w:name="_GoBack"/>
      <w:bookmarkEnd w:id="0"/>
      <w:r w:rsidRPr="00D179B8">
        <w:rPr>
          <w:rFonts w:ascii="標楷體" w:eastAsia="標楷體" w:hAnsi="標楷體" w:cs="標楷體" w:hint="eastAsia"/>
          <w:sz w:val="40"/>
          <w:szCs w:val="40"/>
        </w:rPr>
        <w:t>臺中市</w:t>
      </w:r>
      <w:r w:rsidR="00D27558" w:rsidRPr="00D179B8">
        <w:rPr>
          <w:rFonts w:ascii="標楷體" w:eastAsia="標楷體" w:hAnsi="標楷體" w:cs="標楷體" w:hint="eastAsia"/>
          <w:sz w:val="40"/>
          <w:szCs w:val="40"/>
        </w:rPr>
        <w:t>政府地政局辦理非都市土地更正編定作業要點</w:t>
      </w:r>
    </w:p>
    <w:p w:rsidR="008962E3" w:rsidRPr="00D179B8" w:rsidRDefault="008962E3" w:rsidP="00D179B8">
      <w:pPr>
        <w:spacing w:line="460" w:lineRule="exact"/>
        <w:rPr>
          <w:rFonts w:ascii="標楷體" w:eastAsia="標楷體" w:hAnsi="標楷體" w:cs="Times New Roman"/>
          <w:sz w:val="28"/>
          <w:szCs w:val="28"/>
        </w:rPr>
      </w:pPr>
    </w:p>
    <w:p w:rsidR="00E237F7" w:rsidRPr="00D179B8" w:rsidRDefault="00E237F7" w:rsidP="00063E40">
      <w:pPr>
        <w:pStyle w:val="a3"/>
        <w:numPr>
          <w:ilvl w:val="0"/>
          <w:numId w:val="1"/>
        </w:numPr>
        <w:spacing w:line="460" w:lineRule="exact"/>
        <w:ind w:leftChars="0" w:left="533" w:hanging="533"/>
        <w:rPr>
          <w:rFonts w:ascii="標楷體" w:eastAsia="標楷體" w:hAnsi="標楷體" w:cs="Times New Roman"/>
          <w:sz w:val="28"/>
          <w:szCs w:val="28"/>
        </w:rPr>
      </w:pPr>
      <w:r w:rsidRPr="00D179B8">
        <w:rPr>
          <w:rFonts w:ascii="標楷體" w:eastAsia="標楷體" w:hAnsi="標楷體" w:hint="eastAsia"/>
          <w:sz w:val="28"/>
          <w:szCs w:val="28"/>
        </w:rPr>
        <w:t>為使本市各地政事務所辦理非都市土地更正編定業務有統一作法，明定審核權責及處理時效，以達作業程序明確、審查時程縮短及過程公開透明化之目的，特訂定本作業要點。</w:t>
      </w:r>
    </w:p>
    <w:p w:rsidR="00E237F7" w:rsidRPr="00D179B8" w:rsidRDefault="00E237F7" w:rsidP="008D3F07">
      <w:pPr>
        <w:pStyle w:val="a3"/>
        <w:numPr>
          <w:ilvl w:val="0"/>
          <w:numId w:val="1"/>
        </w:numPr>
        <w:spacing w:line="460" w:lineRule="exact"/>
        <w:ind w:leftChars="0" w:left="533" w:hanging="533"/>
        <w:rPr>
          <w:rFonts w:ascii="標楷體" w:eastAsia="標楷體" w:hAnsi="標楷體" w:cs="Times New Roman"/>
          <w:sz w:val="28"/>
          <w:szCs w:val="28"/>
        </w:rPr>
      </w:pPr>
      <w:r w:rsidRPr="00D179B8">
        <w:rPr>
          <w:rFonts w:ascii="標楷體" w:eastAsia="標楷體" w:hAnsi="標楷體" w:hint="eastAsia"/>
          <w:sz w:val="28"/>
          <w:szCs w:val="28"/>
        </w:rPr>
        <w:t>依據區域計畫法、非都市土地使用管制規則及製定非都市土地使用分區圖及編定各種使用地作業須知規定辦理。</w:t>
      </w:r>
    </w:p>
    <w:p w:rsidR="00E237F7" w:rsidRPr="00D179B8" w:rsidRDefault="00E237F7" w:rsidP="008D3F07">
      <w:pPr>
        <w:pStyle w:val="a3"/>
        <w:numPr>
          <w:ilvl w:val="0"/>
          <w:numId w:val="1"/>
        </w:numPr>
        <w:spacing w:line="460" w:lineRule="exact"/>
        <w:ind w:leftChars="0" w:left="533" w:hanging="533"/>
        <w:rPr>
          <w:rFonts w:ascii="標楷體" w:eastAsia="標楷體" w:hAnsi="標楷體" w:cs="Times New Roman"/>
          <w:sz w:val="28"/>
          <w:szCs w:val="28"/>
        </w:rPr>
      </w:pPr>
      <w:r w:rsidRPr="00D179B8">
        <w:rPr>
          <w:rFonts w:ascii="標楷體" w:eastAsia="標楷體" w:hAnsi="標楷體" w:hint="eastAsia"/>
          <w:sz w:val="28"/>
          <w:szCs w:val="28"/>
        </w:rPr>
        <w:t>申請更正編定應檢附下列文件，向土地所轄地政事務所申請：</w:t>
      </w:r>
    </w:p>
    <w:p w:rsidR="00E237F7" w:rsidRPr="00D179B8" w:rsidRDefault="00E237F7" w:rsidP="008D3F07">
      <w:pPr>
        <w:pStyle w:val="1"/>
        <w:numPr>
          <w:ilvl w:val="0"/>
          <w:numId w:val="7"/>
        </w:numPr>
        <w:spacing w:line="460" w:lineRule="exact"/>
        <w:ind w:leftChars="0"/>
        <w:rPr>
          <w:rFonts w:ascii="標楷體" w:eastAsia="標楷體" w:hAnsi="標楷體"/>
          <w:sz w:val="28"/>
          <w:szCs w:val="28"/>
        </w:rPr>
      </w:pPr>
      <w:r w:rsidRPr="00D179B8">
        <w:rPr>
          <w:rFonts w:ascii="標楷體" w:eastAsia="標楷體" w:hAnsi="標楷體" w:hint="eastAsia"/>
          <w:sz w:val="28"/>
          <w:szCs w:val="28"/>
        </w:rPr>
        <w:t>更正編定申請書。</w:t>
      </w:r>
    </w:p>
    <w:p w:rsidR="00E237F7" w:rsidRPr="00D179B8" w:rsidRDefault="00E237F7" w:rsidP="008D3F07">
      <w:pPr>
        <w:pStyle w:val="1"/>
        <w:numPr>
          <w:ilvl w:val="0"/>
          <w:numId w:val="7"/>
        </w:numPr>
        <w:spacing w:line="460" w:lineRule="exact"/>
        <w:ind w:leftChars="0"/>
        <w:rPr>
          <w:rFonts w:ascii="標楷體" w:eastAsia="標楷體" w:hAnsi="標楷體"/>
          <w:sz w:val="28"/>
          <w:szCs w:val="28"/>
        </w:rPr>
      </w:pPr>
      <w:r w:rsidRPr="00D179B8">
        <w:rPr>
          <w:rFonts w:ascii="標楷體" w:eastAsia="標楷體" w:hAnsi="標楷體" w:hint="eastAsia"/>
          <w:sz w:val="28"/>
          <w:szCs w:val="28"/>
        </w:rPr>
        <w:t>申請人身分證明文件。</w:t>
      </w:r>
    </w:p>
    <w:p w:rsidR="00E237F7" w:rsidRPr="00D179B8" w:rsidRDefault="00E237F7" w:rsidP="008D3F07">
      <w:pPr>
        <w:pStyle w:val="1"/>
        <w:numPr>
          <w:ilvl w:val="0"/>
          <w:numId w:val="7"/>
        </w:numPr>
        <w:spacing w:line="460" w:lineRule="exact"/>
        <w:ind w:leftChars="0"/>
        <w:rPr>
          <w:rFonts w:ascii="標楷體" w:eastAsia="標楷體" w:hAnsi="標楷體"/>
          <w:sz w:val="28"/>
          <w:szCs w:val="28"/>
        </w:rPr>
      </w:pPr>
      <w:r w:rsidRPr="00D179B8">
        <w:rPr>
          <w:rFonts w:ascii="標楷體" w:eastAsia="標楷體" w:hAnsi="標楷體" w:hint="eastAsia"/>
          <w:sz w:val="28"/>
          <w:szCs w:val="28"/>
        </w:rPr>
        <w:t>土地所有權人更正編定同意書</w:t>
      </w:r>
      <w:r w:rsidRPr="00D179B8">
        <w:rPr>
          <w:rFonts w:ascii="標楷體" w:eastAsia="標楷體" w:hAnsi="標楷體"/>
          <w:sz w:val="28"/>
          <w:szCs w:val="28"/>
        </w:rPr>
        <w:t>(</w:t>
      </w:r>
      <w:r w:rsidRPr="00D179B8">
        <w:rPr>
          <w:rFonts w:ascii="標楷體" w:eastAsia="標楷體" w:hAnsi="標楷體" w:hint="eastAsia"/>
          <w:sz w:val="28"/>
          <w:szCs w:val="28"/>
        </w:rPr>
        <w:t>非土地所有權人申請時應檢附</w:t>
      </w:r>
      <w:r w:rsidRPr="00D179B8">
        <w:rPr>
          <w:rFonts w:ascii="標楷體" w:eastAsia="標楷體" w:hAnsi="標楷體"/>
          <w:sz w:val="28"/>
          <w:szCs w:val="28"/>
        </w:rPr>
        <w:t>)</w:t>
      </w:r>
      <w:r w:rsidRPr="00D179B8">
        <w:rPr>
          <w:rFonts w:ascii="標楷體" w:eastAsia="標楷體" w:hAnsi="標楷體" w:hint="eastAsia"/>
          <w:sz w:val="28"/>
          <w:szCs w:val="28"/>
        </w:rPr>
        <w:t>。</w:t>
      </w:r>
    </w:p>
    <w:p w:rsidR="00E237F7" w:rsidRPr="00D179B8" w:rsidRDefault="00E237F7" w:rsidP="008D3F07">
      <w:pPr>
        <w:pStyle w:val="1"/>
        <w:numPr>
          <w:ilvl w:val="0"/>
          <w:numId w:val="7"/>
        </w:numPr>
        <w:spacing w:line="460" w:lineRule="exact"/>
        <w:ind w:leftChars="0"/>
        <w:rPr>
          <w:rFonts w:ascii="標楷體" w:eastAsia="標楷體" w:hAnsi="標楷體"/>
          <w:sz w:val="28"/>
          <w:szCs w:val="28"/>
        </w:rPr>
      </w:pPr>
      <w:r w:rsidRPr="00D179B8">
        <w:rPr>
          <w:rFonts w:ascii="標楷體" w:eastAsia="標楷體" w:hAnsi="標楷體" w:hint="eastAsia"/>
          <w:sz w:val="28"/>
          <w:szCs w:val="28"/>
        </w:rPr>
        <w:t>編定公告前已為合法房屋之證明文件。</w:t>
      </w:r>
    </w:p>
    <w:p w:rsidR="00E237F7" w:rsidRPr="00D179B8" w:rsidRDefault="00E237F7" w:rsidP="008D3F07">
      <w:pPr>
        <w:pStyle w:val="1"/>
        <w:spacing w:line="460" w:lineRule="exact"/>
        <w:ind w:leftChars="0" w:left="560" w:hangingChars="200" w:hanging="560"/>
        <w:rPr>
          <w:rFonts w:ascii="標楷體" w:eastAsia="標楷體" w:hAnsi="標楷體"/>
          <w:sz w:val="28"/>
          <w:szCs w:val="28"/>
        </w:rPr>
      </w:pPr>
      <w:r w:rsidRPr="00D179B8">
        <w:rPr>
          <w:rFonts w:ascii="標楷體" w:eastAsia="標楷體" w:hAnsi="標楷體" w:hint="eastAsia"/>
          <w:sz w:val="28"/>
          <w:szCs w:val="28"/>
        </w:rPr>
        <w:t xml:space="preserve">    前項第四款所稱證明文件，係指下列文件之一：</w:t>
      </w:r>
    </w:p>
    <w:p w:rsidR="00E237F7" w:rsidRPr="00D179B8" w:rsidRDefault="00E237F7" w:rsidP="008D3F07">
      <w:pPr>
        <w:pStyle w:val="1"/>
        <w:numPr>
          <w:ilvl w:val="0"/>
          <w:numId w:val="8"/>
        </w:numPr>
        <w:spacing w:line="460" w:lineRule="exact"/>
        <w:ind w:leftChars="0"/>
        <w:rPr>
          <w:rFonts w:ascii="標楷體" w:eastAsia="標楷體" w:hAnsi="標楷體"/>
          <w:sz w:val="28"/>
          <w:szCs w:val="28"/>
        </w:rPr>
      </w:pPr>
      <w:r w:rsidRPr="00D179B8">
        <w:rPr>
          <w:rFonts w:ascii="標楷體" w:eastAsia="標楷體" w:hAnsi="標楷體" w:hint="eastAsia"/>
          <w:sz w:val="28"/>
          <w:szCs w:val="28"/>
        </w:rPr>
        <w:t>繳納房屋稅憑證或稅籍證明。</w:t>
      </w:r>
    </w:p>
    <w:p w:rsidR="00E237F7" w:rsidRPr="00D179B8" w:rsidRDefault="00E237F7" w:rsidP="008D3F07">
      <w:pPr>
        <w:pStyle w:val="1"/>
        <w:numPr>
          <w:ilvl w:val="0"/>
          <w:numId w:val="8"/>
        </w:numPr>
        <w:spacing w:line="460" w:lineRule="exact"/>
        <w:ind w:leftChars="0" w:left="964" w:hanging="482"/>
        <w:rPr>
          <w:rFonts w:ascii="標楷體" w:eastAsia="標楷體" w:hAnsi="標楷體"/>
          <w:sz w:val="28"/>
          <w:szCs w:val="28"/>
        </w:rPr>
      </w:pPr>
      <w:r w:rsidRPr="00D179B8">
        <w:rPr>
          <w:rFonts w:ascii="標楷體" w:eastAsia="標楷體" w:hAnsi="標楷體" w:hint="eastAsia"/>
          <w:sz w:val="28"/>
          <w:szCs w:val="28"/>
        </w:rPr>
        <w:t>曾於該建物設籍之戶籍謄本。</w:t>
      </w:r>
    </w:p>
    <w:p w:rsidR="00E237F7" w:rsidRPr="00D179B8" w:rsidRDefault="00E237F7" w:rsidP="008D3F07">
      <w:pPr>
        <w:pStyle w:val="1"/>
        <w:numPr>
          <w:ilvl w:val="0"/>
          <w:numId w:val="8"/>
        </w:numPr>
        <w:spacing w:line="460" w:lineRule="exact"/>
        <w:ind w:leftChars="0" w:left="709" w:hanging="227"/>
        <w:rPr>
          <w:rFonts w:ascii="標楷體" w:eastAsia="標楷體" w:hAnsi="標楷體"/>
          <w:sz w:val="28"/>
          <w:szCs w:val="28"/>
        </w:rPr>
      </w:pPr>
      <w:r w:rsidRPr="00D179B8">
        <w:rPr>
          <w:rFonts w:ascii="標楷體" w:eastAsia="標楷體" w:hAnsi="標楷體" w:hint="eastAsia"/>
          <w:sz w:val="28"/>
          <w:szCs w:val="28"/>
        </w:rPr>
        <w:t>繳納水費或電費證明</w:t>
      </w:r>
      <w:r w:rsidRPr="00D179B8">
        <w:rPr>
          <w:rFonts w:ascii="標楷體" w:eastAsia="標楷體" w:hAnsi="標楷體"/>
          <w:sz w:val="28"/>
          <w:szCs w:val="28"/>
        </w:rPr>
        <w:t>(</w:t>
      </w:r>
      <w:r w:rsidRPr="00D179B8">
        <w:rPr>
          <w:rFonts w:ascii="標楷體" w:eastAsia="標楷體" w:hAnsi="標楷體" w:hint="eastAsia"/>
          <w:sz w:val="28"/>
          <w:szCs w:val="28"/>
        </w:rPr>
        <w:t>係供一般建築使用</w:t>
      </w:r>
      <w:r w:rsidRPr="00D179B8">
        <w:rPr>
          <w:rFonts w:ascii="標楷體" w:eastAsia="標楷體" w:hAnsi="標楷體"/>
          <w:sz w:val="28"/>
          <w:szCs w:val="28"/>
        </w:rPr>
        <w:t>)</w:t>
      </w:r>
      <w:r w:rsidRPr="00D179B8">
        <w:rPr>
          <w:rFonts w:ascii="標楷體" w:eastAsia="標楷體" w:hAnsi="標楷體" w:hint="eastAsia"/>
          <w:sz w:val="28"/>
          <w:szCs w:val="28"/>
        </w:rPr>
        <w:t>。</w:t>
      </w:r>
    </w:p>
    <w:p w:rsidR="00E237F7" w:rsidRPr="00D179B8" w:rsidRDefault="00E237F7" w:rsidP="008D3F07">
      <w:pPr>
        <w:pStyle w:val="1"/>
        <w:numPr>
          <w:ilvl w:val="0"/>
          <w:numId w:val="8"/>
        </w:numPr>
        <w:spacing w:line="460" w:lineRule="exact"/>
        <w:ind w:leftChars="0" w:left="709" w:hanging="227"/>
        <w:rPr>
          <w:rFonts w:ascii="標楷體" w:eastAsia="標楷體" w:hAnsi="標楷體"/>
          <w:sz w:val="28"/>
          <w:szCs w:val="28"/>
        </w:rPr>
      </w:pPr>
      <w:r w:rsidRPr="00D179B8">
        <w:rPr>
          <w:rFonts w:ascii="標楷體" w:eastAsia="標楷體" w:hAnsi="標楷體" w:hint="eastAsia"/>
          <w:sz w:val="28"/>
          <w:szCs w:val="28"/>
        </w:rPr>
        <w:t>建物使用執照或建築管理前合法建物證件。</w:t>
      </w:r>
    </w:p>
    <w:p w:rsidR="00E237F7" w:rsidRPr="00D179B8" w:rsidRDefault="00E237F7" w:rsidP="008D3F07">
      <w:pPr>
        <w:pStyle w:val="1"/>
        <w:numPr>
          <w:ilvl w:val="0"/>
          <w:numId w:val="8"/>
        </w:numPr>
        <w:spacing w:line="460" w:lineRule="exact"/>
        <w:ind w:leftChars="0" w:left="709" w:hanging="227"/>
        <w:rPr>
          <w:rFonts w:ascii="標楷體" w:eastAsia="標楷體" w:hAnsi="標楷體"/>
          <w:sz w:val="28"/>
          <w:szCs w:val="28"/>
        </w:rPr>
      </w:pPr>
      <w:r w:rsidRPr="00D179B8">
        <w:rPr>
          <w:rFonts w:ascii="標楷體" w:eastAsia="標楷體" w:hAnsi="標楷體" w:hint="eastAsia"/>
          <w:sz w:val="28"/>
          <w:szCs w:val="28"/>
        </w:rPr>
        <w:t>未實施建築管理地區建物完工證明書。</w:t>
      </w:r>
    </w:p>
    <w:p w:rsidR="00E237F7" w:rsidRPr="00D179B8" w:rsidRDefault="00E237F7" w:rsidP="008D3F07">
      <w:pPr>
        <w:pStyle w:val="1"/>
        <w:numPr>
          <w:ilvl w:val="0"/>
          <w:numId w:val="8"/>
        </w:numPr>
        <w:spacing w:line="460" w:lineRule="exact"/>
        <w:ind w:leftChars="0" w:left="709" w:hanging="227"/>
        <w:rPr>
          <w:rFonts w:ascii="標楷體" w:eastAsia="標楷體" w:hAnsi="標楷體"/>
          <w:sz w:val="28"/>
          <w:szCs w:val="28"/>
        </w:rPr>
      </w:pPr>
      <w:r w:rsidRPr="00D179B8">
        <w:rPr>
          <w:rFonts w:ascii="標楷體" w:eastAsia="標楷體" w:hAnsi="標楷體" w:hint="eastAsia"/>
          <w:sz w:val="28"/>
          <w:szCs w:val="28"/>
        </w:rPr>
        <w:t>其他經本府採認足以明確證明者。</w:t>
      </w:r>
    </w:p>
    <w:p w:rsidR="00E237F7" w:rsidRPr="00D179B8" w:rsidRDefault="00E237F7" w:rsidP="008D3F07">
      <w:pPr>
        <w:pStyle w:val="1"/>
        <w:spacing w:line="460" w:lineRule="exact"/>
        <w:rPr>
          <w:rFonts w:ascii="標楷體" w:eastAsia="標楷體" w:hAnsi="標楷體"/>
          <w:sz w:val="28"/>
          <w:szCs w:val="28"/>
        </w:rPr>
      </w:pPr>
      <w:r w:rsidRPr="00D179B8">
        <w:rPr>
          <w:rFonts w:ascii="標楷體" w:eastAsia="標楷體" w:hAnsi="標楷體" w:hint="eastAsia"/>
          <w:sz w:val="28"/>
          <w:szCs w:val="28"/>
        </w:rPr>
        <w:t>如係原住民保留地，明顯或可辨識供</w:t>
      </w:r>
      <w:r w:rsidR="004263FD">
        <w:rPr>
          <w:rFonts w:ascii="標楷體" w:eastAsia="標楷體" w:hAnsi="標楷體" w:hint="eastAsia"/>
          <w:sz w:val="28"/>
          <w:szCs w:val="28"/>
        </w:rPr>
        <w:t>人居住房屋之航照圖，或原住民保留地土地權利審查委員會審查資料中</w:t>
      </w:r>
      <w:r w:rsidRPr="00D179B8">
        <w:rPr>
          <w:rFonts w:ascii="標楷體" w:eastAsia="標楷體" w:hAnsi="標楷體" w:hint="eastAsia"/>
          <w:sz w:val="28"/>
          <w:szCs w:val="28"/>
        </w:rPr>
        <w:t>有記載於編定公告或實施建築管理前合法房屋之坐落、面積、年限及用途等歷史檔卷資料，亦可作為合法房屋之證明文件。</w:t>
      </w:r>
    </w:p>
    <w:p w:rsidR="00E237F7" w:rsidRPr="00D179B8" w:rsidRDefault="00E237F7" w:rsidP="008D3F07">
      <w:pPr>
        <w:pStyle w:val="1"/>
        <w:spacing w:line="460" w:lineRule="exact"/>
        <w:rPr>
          <w:rFonts w:ascii="標楷體" w:eastAsia="標楷體" w:hAnsi="標楷體"/>
          <w:sz w:val="28"/>
          <w:szCs w:val="28"/>
        </w:rPr>
      </w:pPr>
      <w:r w:rsidRPr="00D179B8">
        <w:rPr>
          <w:rFonts w:ascii="標楷體" w:eastAsia="標楷體" w:hAnsi="標楷體" w:hint="eastAsia"/>
          <w:sz w:val="28"/>
          <w:szCs w:val="28"/>
        </w:rPr>
        <w:t>共有土地申請更正編定，與土地法第三十四條之一規定無涉，惟如非屬全筆土地更正編定者，仍應符合土地法第三十四條之一規定，以利申辦土地分割作業。</w:t>
      </w:r>
    </w:p>
    <w:p w:rsidR="00D179B8" w:rsidRDefault="00E237F7" w:rsidP="008D3F07">
      <w:pPr>
        <w:pStyle w:val="1"/>
        <w:spacing w:line="460" w:lineRule="exact"/>
        <w:rPr>
          <w:rFonts w:ascii="標楷體" w:eastAsia="標楷體" w:hAnsi="標楷體"/>
          <w:sz w:val="28"/>
          <w:szCs w:val="28"/>
        </w:rPr>
      </w:pPr>
      <w:r w:rsidRPr="00D179B8">
        <w:rPr>
          <w:rFonts w:ascii="標楷體" w:eastAsia="標楷體" w:hAnsi="標楷體" w:hint="eastAsia"/>
          <w:sz w:val="28"/>
          <w:szCs w:val="28"/>
        </w:rPr>
        <w:t>所附證明文件有疑義時，應向相關機關或配合航照圖查證。文件如</w:t>
      </w:r>
      <w:r w:rsidRPr="00D179B8">
        <w:rPr>
          <w:rFonts w:ascii="標楷體" w:eastAsia="標楷體" w:hAnsi="標楷體" w:hint="eastAsia"/>
          <w:sz w:val="28"/>
          <w:szCs w:val="28"/>
        </w:rPr>
        <w:lastRenderedPageBreak/>
        <w:t>為影本，應切結「本影本與正本相符，如有不實願負法律責任」並簽章。</w:t>
      </w:r>
    </w:p>
    <w:p w:rsidR="00E237F7" w:rsidRPr="00D179B8" w:rsidRDefault="00CF38B1" w:rsidP="008D3F07">
      <w:pPr>
        <w:pStyle w:val="a3"/>
        <w:numPr>
          <w:ilvl w:val="0"/>
          <w:numId w:val="1"/>
        </w:numPr>
        <w:spacing w:line="460" w:lineRule="exact"/>
        <w:ind w:leftChars="0" w:left="533" w:hanging="533"/>
        <w:rPr>
          <w:rFonts w:ascii="標楷體" w:eastAsia="標楷體" w:hAnsi="標楷體"/>
          <w:sz w:val="28"/>
          <w:szCs w:val="28"/>
        </w:rPr>
      </w:pPr>
      <w:r>
        <w:rPr>
          <w:rFonts w:ascii="標楷體" w:eastAsia="標楷體" w:hAnsi="標楷體" w:cs="標楷體" w:hint="eastAsia"/>
          <w:sz w:val="28"/>
          <w:szCs w:val="28"/>
        </w:rPr>
        <w:t>編定公告前</w:t>
      </w:r>
      <w:r w:rsidR="00E237F7" w:rsidRPr="00D179B8">
        <w:rPr>
          <w:rFonts w:ascii="標楷體" w:eastAsia="標楷體" w:hAnsi="標楷體" w:hint="eastAsia"/>
          <w:sz w:val="28"/>
          <w:szCs w:val="28"/>
        </w:rPr>
        <w:t>已為合法房屋證明文件之認定期間如下：</w:t>
      </w:r>
    </w:p>
    <w:p w:rsidR="00E237F7" w:rsidRPr="00D179B8" w:rsidRDefault="00E237F7" w:rsidP="008D3F07">
      <w:pPr>
        <w:pStyle w:val="1"/>
        <w:numPr>
          <w:ilvl w:val="0"/>
          <w:numId w:val="10"/>
        </w:numPr>
        <w:adjustRightInd w:val="0"/>
        <w:spacing w:line="460" w:lineRule="exact"/>
        <w:ind w:leftChars="0"/>
        <w:rPr>
          <w:rFonts w:ascii="標楷體" w:eastAsia="標楷體" w:hAnsi="標楷體"/>
          <w:sz w:val="28"/>
          <w:szCs w:val="28"/>
        </w:rPr>
      </w:pPr>
      <w:r w:rsidRPr="00D179B8">
        <w:rPr>
          <w:rFonts w:ascii="標楷體" w:eastAsia="標楷體" w:hAnsi="標楷體" w:hint="eastAsia"/>
          <w:sz w:val="28"/>
          <w:szCs w:val="28"/>
        </w:rPr>
        <w:t>民國</w:t>
      </w:r>
      <w:r w:rsidRPr="00D179B8">
        <w:rPr>
          <w:rFonts w:ascii="標楷體" w:eastAsia="標楷體" w:hAnsi="標楷體" w:cs="標楷體" w:hint="eastAsia"/>
          <w:sz w:val="28"/>
          <w:szCs w:val="28"/>
        </w:rPr>
        <w:t>六十二年十二月二十四日</w:t>
      </w:r>
      <w:r w:rsidRPr="00D179B8">
        <w:rPr>
          <w:rFonts w:ascii="標楷體" w:eastAsia="標楷體" w:hAnsi="標楷體" w:hint="eastAsia"/>
          <w:sz w:val="28"/>
          <w:szCs w:val="28"/>
        </w:rPr>
        <w:t>：經銓定</w:t>
      </w:r>
      <w:r w:rsidRPr="00D179B8">
        <w:rPr>
          <w:rFonts w:ascii="標楷體" w:eastAsia="標楷體" w:hAnsi="標楷體" w:cs="標楷體" w:hint="eastAsia"/>
          <w:sz w:val="28"/>
          <w:szCs w:val="28"/>
        </w:rPr>
        <w:t>一至十二</w:t>
      </w:r>
      <w:r w:rsidRPr="00D179B8">
        <w:rPr>
          <w:rFonts w:ascii="標楷體" w:eastAsia="標楷體" w:hAnsi="標楷體" w:hint="eastAsia"/>
          <w:sz w:val="28"/>
          <w:szCs w:val="28"/>
        </w:rPr>
        <w:t>等則之「田」地目土地及內政部指定實施建築管理地區：豐原區、大里區、霧峰區、太平區、潭子區、烏日區及大雅區。</w:t>
      </w:r>
    </w:p>
    <w:p w:rsidR="00E237F7" w:rsidRPr="00D179B8" w:rsidRDefault="00E237F7" w:rsidP="008D3F07">
      <w:pPr>
        <w:pStyle w:val="1"/>
        <w:numPr>
          <w:ilvl w:val="0"/>
          <w:numId w:val="10"/>
        </w:numPr>
        <w:adjustRightInd w:val="0"/>
        <w:spacing w:line="460" w:lineRule="exact"/>
        <w:ind w:leftChars="0"/>
        <w:rPr>
          <w:rFonts w:ascii="標楷體" w:eastAsia="標楷體" w:hAnsi="標楷體"/>
          <w:sz w:val="28"/>
          <w:szCs w:val="28"/>
        </w:rPr>
      </w:pPr>
      <w:r w:rsidRPr="00D179B8">
        <w:rPr>
          <w:rFonts w:ascii="標楷體" w:eastAsia="標楷體" w:hAnsi="標楷體" w:hint="eastAsia"/>
          <w:sz w:val="28"/>
          <w:szCs w:val="28"/>
        </w:rPr>
        <w:t>民國</w:t>
      </w:r>
      <w:r w:rsidRPr="00D179B8">
        <w:rPr>
          <w:rFonts w:ascii="標楷體" w:eastAsia="標楷體" w:hAnsi="標楷體" w:cs="標楷體" w:hint="eastAsia"/>
          <w:sz w:val="28"/>
          <w:szCs w:val="28"/>
        </w:rPr>
        <w:t>六十五年一月一日</w:t>
      </w:r>
      <w:r w:rsidRPr="00D179B8">
        <w:rPr>
          <w:rFonts w:ascii="標楷體" w:eastAsia="標楷體" w:hAnsi="標楷體" w:hint="eastAsia"/>
          <w:sz w:val="28"/>
          <w:szCs w:val="28"/>
        </w:rPr>
        <w:t>：經銓定為</w:t>
      </w:r>
      <w:r w:rsidRPr="00D179B8">
        <w:rPr>
          <w:rFonts w:ascii="標楷體" w:eastAsia="標楷體" w:hAnsi="標楷體" w:cs="標楷體" w:hint="eastAsia"/>
          <w:sz w:val="28"/>
          <w:szCs w:val="28"/>
        </w:rPr>
        <w:t>十三至二十六</w:t>
      </w:r>
      <w:r w:rsidRPr="00D179B8">
        <w:rPr>
          <w:rFonts w:ascii="標楷體" w:eastAsia="標楷體" w:hAnsi="標楷體" w:hint="eastAsia"/>
          <w:sz w:val="28"/>
          <w:szCs w:val="28"/>
        </w:rPr>
        <w:t>等則之「田」地目土地</w:t>
      </w:r>
    </w:p>
    <w:p w:rsidR="00D179B8" w:rsidRDefault="00E237F7" w:rsidP="008D3F07">
      <w:pPr>
        <w:pStyle w:val="1"/>
        <w:numPr>
          <w:ilvl w:val="0"/>
          <w:numId w:val="10"/>
        </w:numPr>
        <w:adjustRightInd w:val="0"/>
        <w:spacing w:line="460" w:lineRule="exact"/>
        <w:ind w:leftChars="0"/>
        <w:rPr>
          <w:rFonts w:ascii="標楷體" w:eastAsia="標楷體" w:hAnsi="標楷體"/>
          <w:sz w:val="28"/>
          <w:szCs w:val="28"/>
        </w:rPr>
      </w:pPr>
      <w:r w:rsidRPr="00D179B8">
        <w:rPr>
          <w:rFonts w:ascii="標楷體" w:eastAsia="標楷體" w:hAnsi="標楷體" w:hint="eastAsia"/>
          <w:sz w:val="28"/>
          <w:szCs w:val="28"/>
        </w:rPr>
        <w:t>民國</w:t>
      </w:r>
      <w:r w:rsidRPr="00D179B8">
        <w:rPr>
          <w:rFonts w:ascii="標楷體" w:eastAsia="標楷體" w:hAnsi="標楷體" w:cs="標楷體" w:hint="eastAsia"/>
          <w:sz w:val="28"/>
          <w:szCs w:val="28"/>
        </w:rPr>
        <w:t>六十九年六月一日</w:t>
      </w:r>
      <w:r w:rsidRPr="00D179B8">
        <w:rPr>
          <w:rFonts w:ascii="標楷體" w:eastAsia="標楷體" w:hAnsi="標楷體" w:hint="eastAsia"/>
          <w:sz w:val="28"/>
          <w:szCs w:val="28"/>
        </w:rPr>
        <w:t>：非屬上列二款之非都市土地。</w:t>
      </w:r>
    </w:p>
    <w:p w:rsidR="00E237F7" w:rsidRPr="00D179B8" w:rsidRDefault="00E237F7" w:rsidP="008D3F07">
      <w:pPr>
        <w:pStyle w:val="a3"/>
        <w:numPr>
          <w:ilvl w:val="0"/>
          <w:numId w:val="1"/>
        </w:numPr>
        <w:spacing w:line="460" w:lineRule="exact"/>
        <w:ind w:leftChars="0" w:left="533" w:hanging="533"/>
        <w:rPr>
          <w:rFonts w:ascii="標楷體" w:eastAsia="標楷體" w:hAnsi="標楷體"/>
          <w:sz w:val="28"/>
          <w:szCs w:val="28"/>
        </w:rPr>
      </w:pPr>
      <w:r w:rsidRPr="00D179B8">
        <w:rPr>
          <w:rFonts w:ascii="標楷體" w:eastAsia="標楷體" w:hAnsi="標楷體" w:hint="eastAsia"/>
          <w:sz w:val="28"/>
          <w:szCs w:val="28"/>
        </w:rPr>
        <w:t>地政事務所受理申請後，應於土地登記簿標示部其他登記事項欄加註：「本筆土地辦理更正編定中</w:t>
      </w:r>
      <w:r w:rsidRPr="00D179B8">
        <w:rPr>
          <w:rFonts w:ascii="標楷體" w:eastAsia="標楷體" w:hAnsi="標楷體"/>
          <w:sz w:val="28"/>
          <w:szCs w:val="28"/>
        </w:rPr>
        <w:t>(</w:t>
      </w:r>
      <w:r w:rsidRPr="00D179B8">
        <w:rPr>
          <w:rFonts w:ascii="新細明體" w:hAnsi="新細明體" w:cs="新細明體" w:hint="eastAsia"/>
          <w:sz w:val="28"/>
          <w:szCs w:val="28"/>
        </w:rPr>
        <w:t>〇</w:t>
      </w:r>
      <w:r w:rsidRPr="00D179B8">
        <w:rPr>
          <w:rFonts w:ascii="標楷體" w:eastAsia="標楷體" w:hAnsi="標楷體" w:cs="標楷體" w:hint="eastAsia"/>
          <w:sz w:val="28"/>
          <w:szCs w:val="28"/>
        </w:rPr>
        <w:t>年</w:t>
      </w:r>
      <w:r w:rsidRPr="00D179B8">
        <w:rPr>
          <w:rFonts w:ascii="新細明體" w:hAnsi="新細明體" w:cs="新細明體" w:hint="eastAsia"/>
          <w:sz w:val="28"/>
          <w:szCs w:val="28"/>
        </w:rPr>
        <w:t>〇</w:t>
      </w:r>
      <w:r w:rsidRPr="00D179B8">
        <w:rPr>
          <w:rFonts w:ascii="標楷體" w:eastAsia="標楷體" w:hAnsi="標楷體" w:cs="標楷體" w:hint="eastAsia"/>
          <w:sz w:val="28"/>
          <w:szCs w:val="28"/>
        </w:rPr>
        <w:t>月</w:t>
      </w:r>
      <w:r w:rsidRPr="00D179B8">
        <w:rPr>
          <w:rFonts w:ascii="新細明體" w:hAnsi="新細明體" w:cs="新細明體" w:hint="eastAsia"/>
          <w:sz w:val="28"/>
          <w:szCs w:val="28"/>
        </w:rPr>
        <w:t>〇</w:t>
      </w:r>
      <w:r w:rsidRPr="00D179B8">
        <w:rPr>
          <w:rFonts w:ascii="標楷體" w:eastAsia="標楷體" w:hAnsi="標楷體" w:cs="標楷體" w:hint="eastAsia"/>
          <w:sz w:val="28"/>
          <w:szCs w:val="28"/>
        </w:rPr>
        <w:t>日</w:t>
      </w:r>
      <w:r w:rsidRPr="00D179B8">
        <w:rPr>
          <w:rFonts w:ascii="標楷體" w:eastAsia="標楷體" w:hAnsi="標楷體"/>
          <w:sz w:val="28"/>
          <w:szCs w:val="28"/>
        </w:rPr>
        <w:t>)</w:t>
      </w:r>
      <w:r w:rsidRPr="00D179B8">
        <w:rPr>
          <w:rFonts w:ascii="標楷體" w:eastAsia="標楷體" w:hAnsi="標楷體" w:hint="eastAsia"/>
          <w:sz w:val="28"/>
          <w:szCs w:val="28"/>
        </w:rPr>
        <w:t>」，以利管制，於辦理異動更正完畢或所請事項與規定不合之程序終結予以駁回時，該註記字樣應隨即併予辦理塗銷。</w:t>
      </w:r>
    </w:p>
    <w:p w:rsidR="00E237F7" w:rsidRPr="00D179B8" w:rsidRDefault="00E237F7" w:rsidP="008D3F07">
      <w:pPr>
        <w:pStyle w:val="1"/>
        <w:spacing w:line="460" w:lineRule="exact"/>
        <w:rPr>
          <w:rFonts w:ascii="標楷體" w:eastAsia="標楷體" w:hAnsi="標楷體"/>
          <w:sz w:val="28"/>
          <w:szCs w:val="28"/>
        </w:rPr>
      </w:pPr>
      <w:r w:rsidRPr="00D179B8">
        <w:rPr>
          <w:rFonts w:ascii="標楷體" w:eastAsia="標楷體" w:hAnsi="標楷體" w:hint="eastAsia"/>
          <w:sz w:val="28"/>
          <w:szCs w:val="28"/>
        </w:rPr>
        <w:t>審查申請更正編定文件，應查證相關機關文件之真偽，並判別該建物是否為農舍或禽、畜等農業相關設施而仍應編為農牧用地。如查有建築之地籍套繪管制情形，應俟除去管制後方得辦理。</w:t>
      </w:r>
    </w:p>
    <w:p w:rsidR="00E237F7" w:rsidRPr="00D179B8" w:rsidRDefault="00E237F7" w:rsidP="008D3F07">
      <w:pPr>
        <w:pStyle w:val="1"/>
        <w:spacing w:line="460" w:lineRule="exact"/>
        <w:rPr>
          <w:rFonts w:ascii="標楷體" w:eastAsia="標楷體" w:hAnsi="標楷體"/>
          <w:sz w:val="28"/>
          <w:szCs w:val="28"/>
        </w:rPr>
      </w:pPr>
      <w:r w:rsidRPr="00D179B8">
        <w:rPr>
          <w:rFonts w:ascii="標楷體" w:eastAsia="標楷體" w:hAnsi="標楷體" w:hint="eastAsia"/>
          <w:sz w:val="28"/>
          <w:szCs w:val="28"/>
        </w:rPr>
        <w:t>早期放領取得所有權之農地，於非都市土地編定公告前興建之合法房屋，日後該土地經編定公告為農牧用地者，仍得依相關規定申辦更正編定。</w:t>
      </w:r>
    </w:p>
    <w:p w:rsidR="00E237F7" w:rsidRPr="00D179B8" w:rsidRDefault="00E237F7" w:rsidP="008D3F07">
      <w:pPr>
        <w:pStyle w:val="a3"/>
        <w:numPr>
          <w:ilvl w:val="0"/>
          <w:numId w:val="1"/>
        </w:numPr>
        <w:spacing w:line="460" w:lineRule="exact"/>
        <w:ind w:leftChars="0" w:left="533" w:hanging="533"/>
        <w:rPr>
          <w:rFonts w:ascii="標楷體" w:eastAsia="標楷體" w:hAnsi="標楷體"/>
          <w:sz w:val="28"/>
          <w:szCs w:val="28"/>
        </w:rPr>
      </w:pPr>
      <w:r w:rsidRPr="00D179B8">
        <w:rPr>
          <w:rFonts w:ascii="標楷體" w:eastAsia="標楷體" w:hAnsi="標楷體" w:hint="eastAsia"/>
          <w:sz w:val="28"/>
          <w:szCs w:val="28"/>
        </w:rPr>
        <w:t>地政事務所人員於實地勘查時，應就是否於編定公告或實施建築管理前即有合法建物存在，而有編定錯誤之情形予以審認，依所附文件已足堪認定為合法建物且載有面積者，依其文件面積辦理。</w:t>
      </w:r>
    </w:p>
    <w:p w:rsidR="00E237F7" w:rsidRPr="00D179B8" w:rsidRDefault="00E237F7" w:rsidP="008D3F07">
      <w:pPr>
        <w:pStyle w:val="1"/>
        <w:spacing w:line="460" w:lineRule="exact"/>
        <w:rPr>
          <w:rFonts w:ascii="標楷體" w:eastAsia="標楷體" w:hAnsi="標楷體"/>
          <w:sz w:val="28"/>
          <w:szCs w:val="28"/>
        </w:rPr>
      </w:pPr>
      <w:r w:rsidRPr="00D179B8">
        <w:rPr>
          <w:rFonts w:ascii="標楷體" w:eastAsia="標楷體" w:hAnsi="標楷體" w:hint="eastAsia"/>
          <w:sz w:val="28"/>
          <w:szCs w:val="28"/>
        </w:rPr>
        <w:t>前項建物有部分顯係新增建，致發生是否為合法建物之疑義者，應標示出疑為增建部分，函請建管、稅務等機關共同會勘確定後再據以辦理。惟建物經過修繕或改建，致其構造、材質與實施管制前之原貌或證明文件所載不一致，但經查明確認於實施建管前或公告編定前即有合法建物存在，仍得辦理更正編定為建築用地。</w:t>
      </w:r>
    </w:p>
    <w:p w:rsidR="00E237F7" w:rsidRPr="00D179B8" w:rsidRDefault="00E237F7" w:rsidP="008D3F07">
      <w:pPr>
        <w:pStyle w:val="a3"/>
        <w:numPr>
          <w:ilvl w:val="0"/>
          <w:numId w:val="1"/>
        </w:numPr>
        <w:spacing w:line="460" w:lineRule="exact"/>
        <w:ind w:leftChars="0" w:left="533" w:hanging="533"/>
        <w:rPr>
          <w:rFonts w:ascii="標楷體" w:eastAsia="標楷體" w:hAnsi="標楷體"/>
          <w:sz w:val="28"/>
          <w:szCs w:val="28"/>
        </w:rPr>
      </w:pPr>
      <w:r w:rsidRPr="00D179B8">
        <w:rPr>
          <w:rFonts w:ascii="標楷體" w:eastAsia="標楷體" w:hAnsi="標楷體" w:hint="eastAsia"/>
          <w:sz w:val="28"/>
          <w:szCs w:val="28"/>
        </w:rPr>
        <w:t>申請更正編定為建築用地之土地，經實地勘查須確有合法建築物存在。但有下列情形之一者，不在此限：</w:t>
      </w:r>
    </w:p>
    <w:p w:rsidR="00E237F7" w:rsidRPr="00D179B8" w:rsidRDefault="00E237F7" w:rsidP="008D3F07">
      <w:pPr>
        <w:pStyle w:val="1"/>
        <w:numPr>
          <w:ilvl w:val="0"/>
          <w:numId w:val="11"/>
        </w:numPr>
        <w:adjustRightInd w:val="0"/>
        <w:spacing w:line="460" w:lineRule="exact"/>
        <w:ind w:leftChars="0"/>
        <w:rPr>
          <w:rFonts w:ascii="標楷體" w:eastAsia="標楷體" w:hAnsi="標楷體"/>
          <w:sz w:val="28"/>
          <w:szCs w:val="28"/>
        </w:rPr>
      </w:pPr>
      <w:r w:rsidRPr="00D179B8">
        <w:rPr>
          <w:rFonts w:ascii="標楷體" w:eastAsia="標楷體" w:hAnsi="標楷體" w:hint="eastAsia"/>
          <w:sz w:val="28"/>
          <w:szCs w:val="28"/>
        </w:rPr>
        <w:t>因天然災害致實地無合法建物存在。應檢附政府機關核發之毀</w:t>
      </w:r>
      <w:r w:rsidRPr="00D179B8">
        <w:rPr>
          <w:rFonts w:ascii="標楷體" w:eastAsia="標楷體" w:hAnsi="標楷體" w:hint="eastAsia"/>
          <w:sz w:val="28"/>
          <w:szCs w:val="28"/>
        </w:rPr>
        <w:lastRenderedPageBreak/>
        <w:t>損證明文件，及檢具合法房屋證明文件</w:t>
      </w:r>
      <w:r w:rsidRPr="00D179B8">
        <w:rPr>
          <w:rFonts w:ascii="標楷體" w:eastAsia="標楷體" w:hAnsi="標楷體"/>
          <w:sz w:val="28"/>
          <w:szCs w:val="28"/>
        </w:rPr>
        <w:t>(</w:t>
      </w:r>
      <w:r w:rsidRPr="00D179B8">
        <w:rPr>
          <w:rFonts w:ascii="標楷體" w:eastAsia="標楷體" w:hAnsi="標楷體" w:hint="eastAsia"/>
          <w:sz w:val="28"/>
          <w:szCs w:val="28"/>
        </w:rPr>
        <w:t>文件內應有合法房屋之位置、面積範圍等</w:t>
      </w:r>
      <w:r w:rsidRPr="00D179B8">
        <w:rPr>
          <w:rFonts w:ascii="標楷體" w:eastAsia="標楷體" w:hAnsi="標楷體"/>
          <w:sz w:val="28"/>
          <w:szCs w:val="28"/>
        </w:rPr>
        <w:t>)</w:t>
      </w:r>
      <w:r w:rsidRPr="00D179B8">
        <w:rPr>
          <w:rFonts w:ascii="標楷體" w:eastAsia="標楷體" w:hAnsi="標楷體" w:hint="eastAsia"/>
          <w:sz w:val="28"/>
          <w:szCs w:val="28"/>
        </w:rPr>
        <w:t>，並經相關機關會勘，參考毀損照片或航照圖等文件認定。</w:t>
      </w:r>
    </w:p>
    <w:p w:rsidR="00D179B8" w:rsidRDefault="00E237F7" w:rsidP="008D3F07">
      <w:pPr>
        <w:numPr>
          <w:ilvl w:val="0"/>
          <w:numId w:val="11"/>
        </w:numPr>
        <w:spacing w:line="460" w:lineRule="exact"/>
        <w:rPr>
          <w:rFonts w:ascii="標楷體" w:eastAsia="標楷體" w:hAnsi="標楷體"/>
          <w:sz w:val="28"/>
          <w:szCs w:val="28"/>
        </w:rPr>
      </w:pPr>
      <w:r w:rsidRPr="00D179B8">
        <w:rPr>
          <w:rFonts w:ascii="標楷體" w:eastAsia="標楷體" w:hAnsi="標楷體" w:hint="eastAsia"/>
          <w:sz w:val="28"/>
          <w:szCs w:val="28"/>
        </w:rPr>
        <w:t>編定公告前已為「建」地目或已奉准變更為「建」地目之土地。</w:t>
      </w:r>
    </w:p>
    <w:p w:rsidR="00E237F7" w:rsidRPr="00D179B8" w:rsidRDefault="00E237F7" w:rsidP="008D3F07">
      <w:pPr>
        <w:numPr>
          <w:ilvl w:val="0"/>
          <w:numId w:val="11"/>
        </w:numPr>
        <w:spacing w:line="460" w:lineRule="exact"/>
        <w:rPr>
          <w:rFonts w:ascii="標楷體" w:eastAsia="標楷體" w:hAnsi="標楷體"/>
          <w:sz w:val="28"/>
          <w:szCs w:val="28"/>
        </w:rPr>
      </w:pPr>
      <w:r w:rsidRPr="00D179B8">
        <w:rPr>
          <w:rFonts w:ascii="標楷體" w:eastAsia="標楷體" w:hAnsi="標楷體" w:cs="標楷體" w:hint="eastAsia"/>
          <w:sz w:val="28"/>
          <w:szCs w:val="28"/>
        </w:rPr>
        <w:t>符合內政部一百零七年一月二十三日內授中辦地字第一○七一三○○九六九號函意旨。</w:t>
      </w:r>
    </w:p>
    <w:p w:rsidR="00E237F7" w:rsidRPr="00D179B8" w:rsidRDefault="00E237F7" w:rsidP="008D3F07">
      <w:pPr>
        <w:pStyle w:val="a3"/>
        <w:numPr>
          <w:ilvl w:val="0"/>
          <w:numId w:val="1"/>
        </w:numPr>
        <w:spacing w:line="460" w:lineRule="exact"/>
        <w:ind w:leftChars="0" w:left="533" w:hanging="533"/>
        <w:rPr>
          <w:rFonts w:ascii="標楷體" w:eastAsia="標楷體" w:hAnsi="標楷體"/>
          <w:sz w:val="28"/>
          <w:szCs w:val="28"/>
        </w:rPr>
      </w:pPr>
      <w:r w:rsidRPr="00D179B8">
        <w:rPr>
          <w:rFonts w:ascii="標楷體" w:eastAsia="標楷體" w:hAnsi="標楷體" w:hint="eastAsia"/>
          <w:sz w:val="28"/>
          <w:szCs w:val="28"/>
        </w:rPr>
        <w:t>整筆土地僅部分得更正編定之土地，應請申請人於接獲通知辦理分割函文後十日內至地政事務所申請土地預為分割複丈，並先行確認是否位於經公告之山坡地範圍，以合法建物面積，依甲種建築用地建蔽率百分之六十或丙種建築用地建蔽率百分之四十，反推其法定空地，更正範圍應涵蓋原有合法建物，就分割出之子地號</w:t>
      </w:r>
      <w:r w:rsidRPr="00D179B8">
        <w:rPr>
          <w:rFonts w:ascii="標楷體" w:eastAsia="標楷體" w:hAnsi="標楷體"/>
          <w:sz w:val="28"/>
          <w:szCs w:val="28"/>
        </w:rPr>
        <w:t>(</w:t>
      </w:r>
      <w:r w:rsidRPr="00D179B8">
        <w:rPr>
          <w:rFonts w:ascii="標楷體" w:eastAsia="標楷體" w:hAnsi="標楷體" w:hint="eastAsia"/>
          <w:sz w:val="28"/>
          <w:szCs w:val="28"/>
        </w:rPr>
        <w:t>母地號維持原編定</w:t>
      </w:r>
      <w:r w:rsidRPr="00D179B8">
        <w:rPr>
          <w:rFonts w:ascii="標楷體" w:eastAsia="標楷體" w:hAnsi="標楷體"/>
          <w:sz w:val="28"/>
          <w:szCs w:val="28"/>
        </w:rPr>
        <w:t>)</w:t>
      </w:r>
      <w:r w:rsidRPr="00D179B8">
        <w:rPr>
          <w:rFonts w:ascii="標楷體" w:eastAsia="標楷體" w:hAnsi="標楷體" w:hint="eastAsia"/>
          <w:sz w:val="28"/>
          <w:szCs w:val="28"/>
        </w:rPr>
        <w:t>更正編定。其所留設之法定空地，除得依地形或實際需要留設出入通道外，餘應以集中留設及避免細碎畸零為原則，又上開留設之出入通道，應計入法定空地範圍內。另土地更正範圍所餘面積在五十平方公尺以內者，得併同辦理更正編定免再辦理分割。</w:t>
      </w:r>
    </w:p>
    <w:p w:rsidR="00E237F7" w:rsidRPr="00D179B8" w:rsidRDefault="00E237F7" w:rsidP="008D3F07">
      <w:pPr>
        <w:pStyle w:val="1"/>
        <w:spacing w:line="460" w:lineRule="exact"/>
        <w:rPr>
          <w:rFonts w:ascii="標楷體" w:eastAsia="標楷體" w:hAnsi="標楷體"/>
          <w:sz w:val="28"/>
          <w:szCs w:val="28"/>
        </w:rPr>
      </w:pPr>
      <w:r w:rsidRPr="00D179B8">
        <w:rPr>
          <w:rFonts w:ascii="標楷體" w:eastAsia="標楷體" w:hAnsi="標楷體" w:hint="eastAsia"/>
          <w:sz w:val="28"/>
          <w:szCs w:val="28"/>
        </w:rPr>
        <w:t>位屬原住民保留地，倘所檢附之證明文件</w:t>
      </w:r>
      <w:r w:rsidRPr="00D179B8">
        <w:rPr>
          <w:rFonts w:ascii="標楷體" w:eastAsia="標楷體" w:hAnsi="標楷體"/>
          <w:sz w:val="28"/>
          <w:szCs w:val="28"/>
        </w:rPr>
        <w:t>(</w:t>
      </w:r>
      <w:r w:rsidRPr="00D179B8">
        <w:rPr>
          <w:rFonts w:ascii="標楷體" w:eastAsia="標楷體" w:hAnsi="標楷體" w:hint="eastAsia"/>
          <w:sz w:val="28"/>
          <w:szCs w:val="28"/>
        </w:rPr>
        <w:t>如航照圖</w:t>
      </w:r>
      <w:r w:rsidRPr="00D179B8">
        <w:rPr>
          <w:rFonts w:ascii="標楷體" w:eastAsia="標楷體" w:hAnsi="標楷體"/>
          <w:sz w:val="28"/>
          <w:szCs w:val="28"/>
        </w:rPr>
        <w:t>)</w:t>
      </w:r>
      <w:r w:rsidRPr="00D179B8">
        <w:rPr>
          <w:rFonts w:ascii="標楷體" w:eastAsia="標楷體" w:hAnsi="標楷體" w:hint="eastAsia"/>
          <w:sz w:val="28"/>
          <w:szCs w:val="28"/>
        </w:rPr>
        <w:t>無記載面積時，得依實地會勘之建物面積加計應留設之法定空地，惟不得超過</w:t>
      </w:r>
      <w:r w:rsidR="00BB17B7">
        <w:rPr>
          <w:rFonts w:ascii="標楷體" w:eastAsia="標楷體" w:hAnsi="標楷體" w:hint="eastAsia"/>
          <w:sz w:val="28"/>
          <w:szCs w:val="28"/>
        </w:rPr>
        <w:t>三百三十</w:t>
      </w:r>
      <w:r w:rsidRPr="00D179B8">
        <w:rPr>
          <w:rFonts w:ascii="標楷體" w:eastAsia="標楷體" w:hAnsi="標楷體" w:hint="eastAsia"/>
          <w:sz w:val="28"/>
          <w:szCs w:val="28"/>
        </w:rPr>
        <w:t>平方公尺，辦理分割及更正編定為建築用地。</w:t>
      </w:r>
    </w:p>
    <w:p w:rsidR="00E237F7" w:rsidRPr="00D179B8" w:rsidRDefault="00E237F7" w:rsidP="008D3F07">
      <w:pPr>
        <w:pStyle w:val="a3"/>
        <w:numPr>
          <w:ilvl w:val="0"/>
          <w:numId w:val="1"/>
        </w:numPr>
        <w:spacing w:line="460" w:lineRule="exact"/>
        <w:ind w:leftChars="0" w:left="533" w:hanging="533"/>
        <w:rPr>
          <w:rFonts w:ascii="標楷體" w:eastAsia="標楷體" w:hAnsi="標楷體" w:cs="Times New Roman"/>
          <w:sz w:val="28"/>
          <w:szCs w:val="28"/>
        </w:rPr>
      </w:pPr>
      <w:r w:rsidRPr="00D179B8">
        <w:rPr>
          <w:rFonts w:ascii="標楷體" w:eastAsia="標楷體" w:hAnsi="標楷體" w:hint="eastAsia"/>
          <w:sz w:val="28"/>
          <w:szCs w:val="28"/>
        </w:rPr>
        <w:t>行政院農業委員會林務局所訂之「國有林地暫准放租建地、水田、旱地解除林地實施計畫」，逕依該局各林管處提供之暫准建地土地分割登記及更正編定相關圖冊資料，辦理更正編定，得不受該建物是否屬非都市土地公告編定前合法建物之限制。</w:t>
      </w:r>
    </w:p>
    <w:p w:rsidR="00E237F7" w:rsidRPr="00D179B8" w:rsidRDefault="00E237F7" w:rsidP="008D3F07">
      <w:pPr>
        <w:pStyle w:val="a3"/>
        <w:numPr>
          <w:ilvl w:val="0"/>
          <w:numId w:val="1"/>
        </w:numPr>
        <w:spacing w:line="460" w:lineRule="exact"/>
        <w:ind w:leftChars="0" w:left="533" w:hanging="533"/>
        <w:rPr>
          <w:rFonts w:ascii="標楷體" w:eastAsia="標楷體" w:hAnsi="標楷體" w:cs="Times New Roman"/>
          <w:sz w:val="28"/>
          <w:szCs w:val="28"/>
        </w:rPr>
      </w:pPr>
      <w:r w:rsidRPr="00D179B8">
        <w:rPr>
          <w:rFonts w:ascii="標楷體" w:eastAsia="標楷體" w:hAnsi="標楷體" w:hint="eastAsia"/>
          <w:sz w:val="28"/>
          <w:szCs w:val="28"/>
        </w:rPr>
        <w:t>經檢附足資證明編定公告前已供特定目的事業使用之文件或檢附該特定目的事業主管機關出具之合法證明文件，經實地勘查現況仍作編定前既定之特定目的事業用途使用者，得依程序更正編定為特定目的事業用地。</w:t>
      </w:r>
    </w:p>
    <w:p w:rsidR="00E237F7" w:rsidRPr="00D179B8" w:rsidRDefault="00E237F7" w:rsidP="008D3F07">
      <w:pPr>
        <w:pStyle w:val="a3"/>
        <w:numPr>
          <w:ilvl w:val="0"/>
          <w:numId w:val="1"/>
        </w:numPr>
        <w:spacing w:line="460" w:lineRule="exact"/>
        <w:ind w:leftChars="0" w:left="533" w:hanging="533"/>
        <w:rPr>
          <w:rFonts w:ascii="標楷體" w:eastAsia="標楷體" w:hAnsi="標楷體" w:cs="Times New Roman"/>
          <w:sz w:val="28"/>
          <w:szCs w:val="28"/>
        </w:rPr>
      </w:pPr>
      <w:r w:rsidRPr="00D179B8">
        <w:rPr>
          <w:rFonts w:ascii="標楷體" w:eastAsia="標楷體" w:hAnsi="標楷體" w:hint="eastAsia"/>
          <w:sz w:val="28"/>
          <w:szCs w:val="28"/>
        </w:rPr>
        <w:t>地政事務所就合於法令規定之更正編定案件，應檢附辦理情形表、會勘紀錄、複丈成果圖及相關文件報市府核定。公文內容應詳</w:t>
      </w:r>
      <w:r w:rsidRPr="00D179B8">
        <w:rPr>
          <w:rFonts w:ascii="標楷體" w:eastAsia="標楷體" w:hAnsi="標楷體" w:hint="eastAsia"/>
          <w:sz w:val="28"/>
          <w:szCs w:val="28"/>
        </w:rPr>
        <w:lastRenderedPageBreak/>
        <w:t>實敘述案情、法令依據及擬具具體意見。如係核准部分土地更正編定者，由地政事務所通知申請人申請分割登記，並連件辦理編定異動。相關作業流程如附表一。</w:t>
      </w:r>
    </w:p>
    <w:p w:rsidR="00E237F7" w:rsidRPr="00D179B8" w:rsidRDefault="00E237F7" w:rsidP="008D3F07">
      <w:pPr>
        <w:pStyle w:val="a3"/>
        <w:numPr>
          <w:ilvl w:val="0"/>
          <w:numId w:val="1"/>
        </w:numPr>
        <w:spacing w:line="460" w:lineRule="exact"/>
        <w:ind w:leftChars="0" w:left="533" w:hanging="533"/>
        <w:rPr>
          <w:rFonts w:ascii="標楷體" w:eastAsia="標楷體" w:hAnsi="標楷體"/>
          <w:sz w:val="28"/>
          <w:szCs w:val="28"/>
        </w:rPr>
      </w:pPr>
      <w:r w:rsidRPr="00D179B8">
        <w:rPr>
          <w:rFonts w:ascii="標楷體" w:eastAsia="標楷體" w:hAnsi="標楷體" w:hint="eastAsia"/>
          <w:sz w:val="28"/>
          <w:szCs w:val="28"/>
        </w:rPr>
        <w:t>申請更正編定所附文件不符或缺漏，地政事務所應以書面敘明理由，通知申請人於接到通知書之日起一定期限內補正。如係不符相關法令規定或逾期未補正或未照補正事項完成補正者，應報請市府核定後駁回。申請人如不服行政處分提起訴願或行政訴訟，得由地政事務所提具意見及檢附相關資料，由市府彙整辦理答辯事宜。</w:t>
      </w:r>
    </w:p>
    <w:p w:rsidR="00E237F7" w:rsidRPr="00D179B8" w:rsidRDefault="00E237F7" w:rsidP="008D3F07">
      <w:pPr>
        <w:pStyle w:val="1"/>
        <w:spacing w:line="460" w:lineRule="exact"/>
        <w:rPr>
          <w:rFonts w:ascii="標楷體" w:eastAsia="標楷體" w:hAnsi="標楷體"/>
          <w:sz w:val="28"/>
          <w:szCs w:val="28"/>
        </w:rPr>
      </w:pPr>
      <w:r w:rsidRPr="00D179B8">
        <w:rPr>
          <w:rFonts w:ascii="標楷體" w:eastAsia="標楷體" w:hAnsi="標楷體" w:hint="eastAsia"/>
          <w:sz w:val="28"/>
          <w:szCs w:val="28"/>
        </w:rPr>
        <w:t>更正編定登記完畢前，申請人以書面申請撤回，地政事務所應將申請書及附件發還申請人，並副知市府。</w:t>
      </w:r>
    </w:p>
    <w:p w:rsidR="00E25DB0" w:rsidRPr="00D179B8" w:rsidRDefault="00E237F7" w:rsidP="008D3F07">
      <w:pPr>
        <w:pStyle w:val="a3"/>
        <w:numPr>
          <w:ilvl w:val="0"/>
          <w:numId w:val="1"/>
        </w:numPr>
        <w:spacing w:line="460" w:lineRule="exact"/>
        <w:ind w:leftChars="0" w:left="533" w:hanging="533"/>
        <w:rPr>
          <w:rFonts w:ascii="標楷體" w:eastAsia="標楷體" w:hAnsi="標楷體" w:cs="Times New Roman"/>
          <w:sz w:val="28"/>
          <w:szCs w:val="28"/>
        </w:rPr>
      </w:pPr>
      <w:r w:rsidRPr="00D179B8">
        <w:rPr>
          <w:rFonts w:ascii="標楷體" w:eastAsia="標楷體" w:hAnsi="標楷體" w:hint="eastAsia"/>
          <w:sz w:val="28"/>
          <w:szCs w:val="28"/>
        </w:rPr>
        <w:t>本作業要點奉局長核定後實施。</w:t>
      </w:r>
    </w:p>
    <w:sectPr w:rsidR="00E25DB0" w:rsidRPr="00D179B8" w:rsidSect="008962E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1D" w:rsidRDefault="001E331D" w:rsidP="00535FE1">
      <w:pPr>
        <w:rPr>
          <w:rFonts w:cs="Times New Roman"/>
        </w:rPr>
      </w:pPr>
      <w:r>
        <w:rPr>
          <w:rFonts w:cs="Times New Roman"/>
        </w:rPr>
        <w:separator/>
      </w:r>
    </w:p>
  </w:endnote>
  <w:endnote w:type="continuationSeparator" w:id="0">
    <w:p w:rsidR="001E331D" w:rsidRDefault="001E331D" w:rsidP="00535F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B0" w:rsidRDefault="005B04F0">
    <w:pPr>
      <w:pStyle w:val="a6"/>
      <w:jc w:val="center"/>
      <w:rPr>
        <w:rFonts w:cs="Times New Roman"/>
      </w:rPr>
    </w:pPr>
    <w:r>
      <w:fldChar w:fldCharType="begin"/>
    </w:r>
    <w:r>
      <w:instrText>PAGE   \* MERGEFORMAT</w:instrText>
    </w:r>
    <w:r>
      <w:fldChar w:fldCharType="separate"/>
    </w:r>
    <w:r w:rsidR="00EA64E6" w:rsidRPr="00EA64E6">
      <w:rPr>
        <w:noProof/>
        <w:lang w:val="zh-TW"/>
      </w:rPr>
      <w:t>4</w:t>
    </w:r>
    <w:r>
      <w:rPr>
        <w:noProof/>
        <w:lang w:val="zh-TW"/>
      </w:rPr>
      <w:fldChar w:fldCharType="end"/>
    </w:r>
  </w:p>
  <w:p w:rsidR="00E25DB0" w:rsidRDefault="00E25DB0">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1D" w:rsidRDefault="001E331D" w:rsidP="00535FE1">
      <w:pPr>
        <w:rPr>
          <w:rFonts w:cs="Times New Roman"/>
        </w:rPr>
      </w:pPr>
      <w:r>
        <w:rPr>
          <w:rFonts w:cs="Times New Roman"/>
        </w:rPr>
        <w:separator/>
      </w:r>
    </w:p>
  </w:footnote>
  <w:footnote w:type="continuationSeparator" w:id="0">
    <w:p w:rsidR="001E331D" w:rsidRDefault="001E331D" w:rsidP="00535FE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5101"/>
    <w:multiLevelType w:val="hybridMultilevel"/>
    <w:tmpl w:val="DB3044A0"/>
    <w:lvl w:ilvl="0" w:tplc="721CF7E6">
      <w:start w:val="1"/>
      <w:numFmt w:val="decimal"/>
      <w:suff w:val="nothing"/>
      <w:lvlText w:val="%1."/>
      <w:lvlJc w:val="left"/>
      <w:pPr>
        <w:ind w:left="960" w:hanging="480"/>
      </w:pPr>
      <w:rPr>
        <w:rFonts w:hint="eastAsia"/>
      </w:rPr>
    </w:lvl>
    <w:lvl w:ilvl="1" w:tplc="04090019" w:tentative="1">
      <w:start w:val="1"/>
      <w:numFmt w:val="ideographTraditional"/>
      <w:lvlText w:val="%2、"/>
      <w:lvlJc w:val="left"/>
      <w:pPr>
        <w:tabs>
          <w:tab w:val="num" w:pos="1540"/>
        </w:tabs>
        <w:ind w:left="1540" w:hanging="480"/>
      </w:pPr>
    </w:lvl>
    <w:lvl w:ilvl="2" w:tplc="0409001B" w:tentative="1">
      <w:start w:val="1"/>
      <w:numFmt w:val="lowerRoman"/>
      <w:lvlText w:val="%3."/>
      <w:lvlJc w:val="right"/>
      <w:pPr>
        <w:tabs>
          <w:tab w:val="num" w:pos="2020"/>
        </w:tabs>
        <w:ind w:left="2020" w:hanging="480"/>
      </w:pPr>
    </w:lvl>
    <w:lvl w:ilvl="3" w:tplc="0409000F" w:tentative="1">
      <w:start w:val="1"/>
      <w:numFmt w:val="decimal"/>
      <w:lvlText w:val="%4."/>
      <w:lvlJc w:val="left"/>
      <w:pPr>
        <w:tabs>
          <w:tab w:val="num" w:pos="2500"/>
        </w:tabs>
        <w:ind w:left="2500" w:hanging="480"/>
      </w:pPr>
    </w:lvl>
    <w:lvl w:ilvl="4" w:tplc="04090019" w:tentative="1">
      <w:start w:val="1"/>
      <w:numFmt w:val="ideographTraditional"/>
      <w:lvlText w:val="%5、"/>
      <w:lvlJc w:val="left"/>
      <w:pPr>
        <w:tabs>
          <w:tab w:val="num" w:pos="2980"/>
        </w:tabs>
        <w:ind w:left="2980" w:hanging="480"/>
      </w:pPr>
    </w:lvl>
    <w:lvl w:ilvl="5" w:tplc="0409001B" w:tentative="1">
      <w:start w:val="1"/>
      <w:numFmt w:val="lowerRoman"/>
      <w:lvlText w:val="%6."/>
      <w:lvlJc w:val="right"/>
      <w:pPr>
        <w:tabs>
          <w:tab w:val="num" w:pos="3460"/>
        </w:tabs>
        <w:ind w:left="3460" w:hanging="480"/>
      </w:pPr>
    </w:lvl>
    <w:lvl w:ilvl="6" w:tplc="0409000F" w:tentative="1">
      <w:start w:val="1"/>
      <w:numFmt w:val="decimal"/>
      <w:lvlText w:val="%7."/>
      <w:lvlJc w:val="left"/>
      <w:pPr>
        <w:tabs>
          <w:tab w:val="num" w:pos="3940"/>
        </w:tabs>
        <w:ind w:left="3940" w:hanging="480"/>
      </w:pPr>
    </w:lvl>
    <w:lvl w:ilvl="7" w:tplc="04090019" w:tentative="1">
      <w:start w:val="1"/>
      <w:numFmt w:val="ideographTraditional"/>
      <w:lvlText w:val="%8、"/>
      <w:lvlJc w:val="left"/>
      <w:pPr>
        <w:tabs>
          <w:tab w:val="num" w:pos="4420"/>
        </w:tabs>
        <w:ind w:left="4420" w:hanging="480"/>
      </w:pPr>
    </w:lvl>
    <w:lvl w:ilvl="8" w:tplc="0409001B" w:tentative="1">
      <w:start w:val="1"/>
      <w:numFmt w:val="lowerRoman"/>
      <w:lvlText w:val="%9."/>
      <w:lvlJc w:val="right"/>
      <w:pPr>
        <w:tabs>
          <w:tab w:val="num" w:pos="4900"/>
        </w:tabs>
        <w:ind w:left="4900" w:hanging="480"/>
      </w:pPr>
    </w:lvl>
  </w:abstractNum>
  <w:abstractNum w:abstractNumId="1">
    <w:nsid w:val="1EA971D7"/>
    <w:multiLevelType w:val="hybridMultilevel"/>
    <w:tmpl w:val="598E1CD6"/>
    <w:lvl w:ilvl="0" w:tplc="A05A04C6">
      <w:start w:val="1"/>
      <w:numFmt w:val="decimal"/>
      <w:suff w:val="nothing"/>
      <w:lvlText w:val="%1、"/>
      <w:lvlJc w:val="left"/>
      <w:pPr>
        <w:ind w:left="1200" w:hanging="360"/>
      </w:pPr>
      <w:rPr>
        <w:rFonts w:hint="default"/>
      </w:r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2">
    <w:nsid w:val="431A79B3"/>
    <w:multiLevelType w:val="hybridMultilevel"/>
    <w:tmpl w:val="A52ADFD4"/>
    <w:lvl w:ilvl="0" w:tplc="B142BC9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68176B7"/>
    <w:multiLevelType w:val="hybridMultilevel"/>
    <w:tmpl w:val="DCDA3DBC"/>
    <w:lvl w:ilvl="0" w:tplc="70E2FD10">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
    <w:nsid w:val="51EE6A59"/>
    <w:multiLevelType w:val="hybridMultilevel"/>
    <w:tmpl w:val="63A88338"/>
    <w:lvl w:ilvl="0" w:tplc="55AE64EE">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30517E"/>
    <w:multiLevelType w:val="hybridMultilevel"/>
    <w:tmpl w:val="3EF22BC8"/>
    <w:lvl w:ilvl="0" w:tplc="6B061E8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581E46AE"/>
    <w:multiLevelType w:val="hybridMultilevel"/>
    <w:tmpl w:val="9AAAFD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1E8492E"/>
    <w:multiLevelType w:val="hybridMultilevel"/>
    <w:tmpl w:val="2DD22A9E"/>
    <w:lvl w:ilvl="0" w:tplc="79F4222A">
      <w:start w:val="1"/>
      <w:numFmt w:val="taiwaneseCountingThousand"/>
      <w:suff w:val="nothing"/>
      <w:lvlText w:val="%1、"/>
      <w:lvlJc w:val="left"/>
      <w:pPr>
        <w:ind w:left="960" w:hanging="960"/>
      </w:pPr>
      <w:rPr>
        <w:rFonts w:hint="default"/>
      </w:rPr>
    </w:lvl>
    <w:lvl w:ilvl="1" w:tplc="E8A20CF0">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62A528B0"/>
    <w:multiLevelType w:val="hybridMultilevel"/>
    <w:tmpl w:val="47D0805A"/>
    <w:lvl w:ilvl="0" w:tplc="4DECAA42">
      <w:start w:val="1"/>
      <w:numFmt w:val="taiwaneseCountingThousand"/>
      <w:suff w:val="nothing"/>
      <w:lvlText w:val="(%1)"/>
      <w:lvlJc w:val="left"/>
      <w:pPr>
        <w:ind w:left="960" w:hanging="480"/>
      </w:pPr>
      <w:rPr>
        <w:rFonts w:hint="eastAsia"/>
      </w:rPr>
    </w:lvl>
    <w:lvl w:ilvl="1" w:tplc="0409000F">
      <w:start w:val="1"/>
      <w:numFmt w:val="decim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6B9B5563"/>
    <w:multiLevelType w:val="hybridMultilevel"/>
    <w:tmpl w:val="2E364266"/>
    <w:lvl w:ilvl="0" w:tplc="B71A075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0EA19E8"/>
    <w:multiLevelType w:val="hybridMultilevel"/>
    <w:tmpl w:val="E968F9EE"/>
    <w:lvl w:ilvl="0" w:tplc="A6407160">
      <w:start w:val="1"/>
      <w:numFmt w:val="taiwaneseCountingThousand"/>
      <w:suff w:val="nothing"/>
      <w:lvlText w:val="(%1)"/>
      <w:lvlJc w:val="left"/>
      <w:pPr>
        <w:ind w:left="432" w:hanging="432"/>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nsid w:val="772A5034"/>
    <w:multiLevelType w:val="hybridMultilevel"/>
    <w:tmpl w:val="54DCEC2E"/>
    <w:lvl w:ilvl="0" w:tplc="88F48450">
      <w:start w:val="1"/>
      <w:numFmt w:val="taiwaneseCountingThousand"/>
      <w:suff w:val="nothing"/>
      <w:lvlText w:val="(%1)"/>
      <w:lvlJc w:val="left"/>
      <w:pPr>
        <w:ind w:left="-18" w:hanging="456"/>
      </w:pPr>
      <w:rPr>
        <w:rFonts w:hint="eastAsia"/>
      </w:rPr>
    </w:lvl>
    <w:lvl w:ilvl="1" w:tplc="04090019">
      <w:start w:val="1"/>
      <w:numFmt w:val="ideographTraditional"/>
      <w:lvlText w:val="%2、"/>
      <w:lvlJc w:val="left"/>
      <w:pPr>
        <w:ind w:left="490" w:hanging="480"/>
      </w:pPr>
    </w:lvl>
    <w:lvl w:ilvl="2" w:tplc="0409001B">
      <w:start w:val="1"/>
      <w:numFmt w:val="lowerRoman"/>
      <w:lvlText w:val="%3."/>
      <w:lvlJc w:val="right"/>
      <w:pPr>
        <w:ind w:left="970" w:hanging="480"/>
      </w:pPr>
    </w:lvl>
    <w:lvl w:ilvl="3" w:tplc="0409000F">
      <w:start w:val="1"/>
      <w:numFmt w:val="decimal"/>
      <w:lvlText w:val="%4."/>
      <w:lvlJc w:val="left"/>
      <w:pPr>
        <w:ind w:left="1450" w:hanging="480"/>
      </w:pPr>
    </w:lvl>
    <w:lvl w:ilvl="4" w:tplc="04090019">
      <w:start w:val="1"/>
      <w:numFmt w:val="ideographTraditional"/>
      <w:lvlText w:val="%5、"/>
      <w:lvlJc w:val="left"/>
      <w:pPr>
        <w:ind w:left="1930" w:hanging="480"/>
      </w:pPr>
    </w:lvl>
    <w:lvl w:ilvl="5" w:tplc="0409001B">
      <w:start w:val="1"/>
      <w:numFmt w:val="lowerRoman"/>
      <w:lvlText w:val="%6."/>
      <w:lvlJc w:val="right"/>
      <w:pPr>
        <w:ind w:left="2410" w:hanging="480"/>
      </w:pPr>
    </w:lvl>
    <w:lvl w:ilvl="6" w:tplc="0409000F">
      <w:start w:val="1"/>
      <w:numFmt w:val="decimal"/>
      <w:lvlText w:val="%7."/>
      <w:lvlJc w:val="left"/>
      <w:pPr>
        <w:ind w:left="2890" w:hanging="480"/>
      </w:pPr>
    </w:lvl>
    <w:lvl w:ilvl="7" w:tplc="04090019">
      <w:start w:val="1"/>
      <w:numFmt w:val="ideographTraditional"/>
      <w:lvlText w:val="%8、"/>
      <w:lvlJc w:val="left"/>
      <w:pPr>
        <w:ind w:left="3370" w:hanging="480"/>
      </w:pPr>
    </w:lvl>
    <w:lvl w:ilvl="8" w:tplc="0409001B">
      <w:start w:val="1"/>
      <w:numFmt w:val="lowerRoman"/>
      <w:lvlText w:val="%9."/>
      <w:lvlJc w:val="right"/>
      <w:pPr>
        <w:ind w:left="3850" w:hanging="480"/>
      </w:pPr>
    </w:lvl>
  </w:abstractNum>
  <w:num w:numId="1">
    <w:abstractNumId w:val="7"/>
  </w:num>
  <w:num w:numId="2">
    <w:abstractNumId w:val="3"/>
  </w:num>
  <w:num w:numId="3">
    <w:abstractNumId w:val="11"/>
  </w:num>
  <w:num w:numId="4">
    <w:abstractNumId w:val="10"/>
  </w:num>
  <w:num w:numId="5">
    <w:abstractNumId w:val="1"/>
  </w:num>
  <w:num w:numId="6">
    <w:abstractNumId w:val="6"/>
  </w:num>
  <w:num w:numId="7">
    <w:abstractNumId w:val="8"/>
  </w:num>
  <w:num w:numId="8">
    <w:abstractNumId w:val="0"/>
  </w:num>
  <w:num w:numId="9">
    <w:abstractNumId w:val="4"/>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F5"/>
    <w:rsid w:val="00017BA9"/>
    <w:rsid w:val="0005590C"/>
    <w:rsid w:val="00063E40"/>
    <w:rsid w:val="000B3F18"/>
    <w:rsid w:val="000B61DB"/>
    <w:rsid w:val="0013727A"/>
    <w:rsid w:val="001702F5"/>
    <w:rsid w:val="00196A56"/>
    <w:rsid w:val="001C1539"/>
    <w:rsid w:val="001E331D"/>
    <w:rsid w:val="001F382A"/>
    <w:rsid w:val="002052E7"/>
    <w:rsid w:val="00250B96"/>
    <w:rsid w:val="00266445"/>
    <w:rsid w:val="002B012F"/>
    <w:rsid w:val="002F2BFF"/>
    <w:rsid w:val="00315EC9"/>
    <w:rsid w:val="003374D4"/>
    <w:rsid w:val="003571CA"/>
    <w:rsid w:val="00392AEC"/>
    <w:rsid w:val="003B49D3"/>
    <w:rsid w:val="003C2C94"/>
    <w:rsid w:val="003C4F60"/>
    <w:rsid w:val="004263FD"/>
    <w:rsid w:val="00427B42"/>
    <w:rsid w:val="004305FC"/>
    <w:rsid w:val="0043719F"/>
    <w:rsid w:val="00452244"/>
    <w:rsid w:val="00452B78"/>
    <w:rsid w:val="004A162C"/>
    <w:rsid w:val="004A3F20"/>
    <w:rsid w:val="004B68BA"/>
    <w:rsid w:val="004B6E32"/>
    <w:rsid w:val="004D79B9"/>
    <w:rsid w:val="00506A8A"/>
    <w:rsid w:val="00514744"/>
    <w:rsid w:val="005316F7"/>
    <w:rsid w:val="00535FE1"/>
    <w:rsid w:val="005A0FE5"/>
    <w:rsid w:val="005B04F0"/>
    <w:rsid w:val="0067257A"/>
    <w:rsid w:val="006A6D23"/>
    <w:rsid w:val="006C7714"/>
    <w:rsid w:val="006F1CFB"/>
    <w:rsid w:val="007000F3"/>
    <w:rsid w:val="00740B91"/>
    <w:rsid w:val="007660C8"/>
    <w:rsid w:val="00776324"/>
    <w:rsid w:val="00787FE3"/>
    <w:rsid w:val="007A1D6D"/>
    <w:rsid w:val="007C7B3A"/>
    <w:rsid w:val="007D2D0C"/>
    <w:rsid w:val="0080441D"/>
    <w:rsid w:val="00805805"/>
    <w:rsid w:val="008306DE"/>
    <w:rsid w:val="008507A0"/>
    <w:rsid w:val="00864482"/>
    <w:rsid w:val="00864EBB"/>
    <w:rsid w:val="008962E3"/>
    <w:rsid w:val="008D3F07"/>
    <w:rsid w:val="00922BA1"/>
    <w:rsid w:val="00935044"/>
    <w:rsid w:val="00946B0D"/>
    <w:rsid w:val="00952AE6"/>
    <w:rsid w:val="00965377"/>
    <w:rsid w:val="009770E3"/>
    <w:rsid w:val="009A325E"/>
    <w:rsid w:val="009C5F02"/>
    <w:rsid w:val="009E2991"/>
    <w:rsid w:val="009E7402"/>
    <w:rsid w:val="00A04ED6"/>
    <w:rsid w:val="00A0521A"/>
    <w:rsid w:val="00A458F5"/>
    <w:rsid w:val="00A477EA"/>
    <w:rsid w:val="00A55DEA"/>
    <w:rsid w:val="00A634B3"/>
    <w:rsid w:val="00A658DF"/>
    <w:rsid w:val="00A8143B"/>
    <w:rsid w:val="00A90797"/>
    <w:rsid w:val="00AB0224"/>
    <w:rsid w:val="00AD7EE4"/>
    <w:rsid w:val="00AE2AE3"/>
    <w:rsid w:val="00AE6BA7"/>
    <w:rsid w:val="00B040CF"/>
    <w:rsid w:val="00B10E5A"/>
    <w:rsid w:val="00B70C79"/>
    <w:rsid w:val="00BB17B7"/>
    <w:rsid w:val="00BD4D2F"/>
    <w:rsid w:val="00C35217"/>
    <w:rsid w:val="00C359CD"/>
    <w:rsid w:val="00C52349"/>
    <w:rsid w:val="00C557F5"/>
    <w:rsid w:val="00C6176D"/>
    <w:rsid w:val="00CC7076"/>
    <w:rsid w:val="00CD7B8F"/>
    <w:rsid w:val="00CF1FD9"/>
    <w:rsid w:val="00CF38B1"/>
    <w:rsid w:val="00D179B8"/>
    <w:rsid w:val="00D23C32"/>
    <w:rsid w:val="00D24705"/>
    <w:rsid w:val="00D2634D"/>
    <w:rsid w:val="00D27558"/>
    <w:rsid w:val="00D6171E"/>
    <w:rsid w:val="00D77165"/>
    <w:rsid w:val="00D87530"/>
    <w:rsid w:val="00DB3BE9"/>
    <w:rsid w:val="00DC18F4"/>
    <w:rsid w:val="00DD44B1"/>
    <w:rsid w:val="00DD69F2"/>
    <w:rsid w:val="00DE2C28"/>
    <w:rsid w:val="00E1044A"/>
    <w:rsid w:val="00E237F7"/>
    <w:rsid w:val="00E25DB0"/>
    <w:rsid w:val="00EA4025"/>
    <w:rsid w:val="00EA64E6"/>
    <w:rsid w:val="00EF320D"/>
    <w:rsid w:val="00F14D6A"/>
    <w:rsid w:val="00F4023E"/>
    <w:rsid w:val="00F50A02"/>
    <w:rsid w:val="00F96B55"/>
    <w:rsid w:val="00FC32BE"/>
    <w:rsid w:val="00FF5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054072-9960-4A02-A1C6-BAE0AB0C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53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320D"/>
    <w:pPr>
      <w:ind w:leftChars="200" w:left="480"/>
    </w:pPr>
  </w:style>
  <w:style w:type="paragraph" w:styleId="a4">
    <w:name w:val="header"/>
    <w:basedOn w:val="a"/>
    <w:link w:val="a5"/>
    <w:uiPriority w:val="99"/>
    <w:rsid w:val="00535FE1"/>
    <w:pPr>
      <w:tabs>
        <w:tab w:val="center" w:pos="4153"/>
        <w:tab w:val="right" w:pos="8306"/>
      </w:tabs>
      <w:snapToGrid w:val="0"/>
    </w:pPr>
    <w:rPr>
      <w:sz w:val="20"/>
      <w:szCs w:val="20"/>
    </w:rPr>
  </w:style>
  <w:style w:type="character" w:customStyle="1" w:styleId="a5">
    <w:name w:val="頁首 字元"/>
    <w:basedOn w:val="a0"/>
    <w:link w:val="a4"/>
    <w:uiPriority w:val="99"/>
    <w:locked/>
    <w:rsid w:val="00535FE1"/>
    <w:rPr>
      <w:sz w:val="20"/>
      <w:szCs w:val="20"/>
    </w:rPr>
  </w:style>
  <w:style w:type="paragraph" w:styleId="a6">
    <w:name w:val="footer"/>
    <w:basedOn w:val="a"/>
    <w:link w:val="a7"/>
    <w:uiPriority w:val="99"/>
    <w:rsid w:val="00535FE1"/>
    <w:pPr>
      <w:tabs>
        <w:tab w:val="center" w:pos="4153"/>
        <w:tab w:val="right" w:pos="8306"/>
      </w:tabs>
      <w:snapToGrid w:val="0"/>
    </w:pPr>
    <w:rPr>
      <w:sz w:val="20"/>
      <w:szCs w:val="20"/>
    </w:rPr>
  </w:style>
  <w:style w:type="character" w:customStyle="1" w:styleId="a7">
    <w:name w:val="頁尾 字元"/>
    <w:basedOn w:val="a0"/>
    <w:link w:val="a6"/>
    <w:uiPriority w:val="99"/>
    <w:locked/>
    <w:rsid w:val="00535FE1"/>
    <w:rPr>
      <w:sz w:val="20"/>
      <w:szCs w:val="20"/>
    </w:rPr>
  </w:style>
  <w:style w:type="paragraph" w:styleId="a8">
    <w:name w:val="Balloon Text"/>
    <w:basedOn w:val="a"/>
    <w:link w:val="a9"/>
    <w:uiPriority w:val="99"/>
    <w:semiHidden/>
    <w:unhideWhenUsed/>
    <w:rsid w:val="00250B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0B96"/>
    <w:rPr>
      <w:rFonts w:asciiTheme="majorHAnsi" w:eastAsiaTheme="majorEastAsia" w:hAnsiTheme="majorHAnsi" w:cstheme="majorBidi"/>
      <w:sz w:val="18"/>
      <w:szCs w:val="18"/>
    </w:rPr>
  </w:style>
  <w:style w:type="table" w:styleId="aa">
    <w:name w:val="Table Grid"/>
    <w:basedOn w:val="a1"/>
    <w:locked/>
    <w:rsid w:val="00E237F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E237F7"/>
    <w:pPr>
      <w:ind w:leftChars="200" w:left="48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348</Words>
  <Characters>1990</Characters>
  <Application>Microsoft Office Word</Application>
  <DocSecurity>0</DocSecurity>
  <Lines>16</Lines>
  <Paragraphs>4</Paragraphs>
  <ScaleCrop>false</ScaleCrop>
  <Company>CMT</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臺中市更正編定作業須知</dc:title>
  <dc:subject>臺中市更正編定作業須知</dc:subject>
  <dc:creator>許世強</dc:creator>
  <cp:keywords/>
  <dc:description/>
  <cp:lastModifiedBy>王凱琳</cp:lastModifiedBy>
  <cp:revision>1</cp:revision>
  <cp:lastPrinted>2016-09-10T05:38:00Z</cp:lastPrinted>
  <dcterms:created xsi:type="dcterms:W3CDTF">2019-06-24T01:28:00Z</dcterms:created>
  <dcterms:modified xsi:type="dcterms:W3CDTF">2019-10-23T01:41:00Z</dcterms:modified>
</cp:coreProperties>
</file>